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C783A" w14:textId="77777777" w:rsidR="00D17187" w:rsidRPr="004214D6" w:rsidRDefault="00D17187" w:rsidP="00D17187">
      <w:pPr>
        <w:pBdr>
          <w:bottom w:val="single" w:sz="4" w:space="0" w:color="auto"/>
        </w:pBdr>
        <w:tabs>
          <w:tab w:val="right" w:pos="9638"/>
        </w:tabs>
        <w:rPr>
          <w:rFonts w:ascii="Arial" w:hAnsi="Arial" w:cs="Arial"/>
          <w:lang w:val="en-US"/>
        </w:rPr>
      </w:pPr>
      <w:bookmarkStart w:id="0" w:name="page1"/>
    </w:p>
    <w:p w14:paraId="622D453A" w14:textId="77777777" w:rsidR="00D17187" w:rsidRPr="004214D6" w:rsidRDefault="00D17187" w:rsidP="00D17187">
      <w:pPr>
        <w:ind w:left="2127" w:hanging="2127"/>
        <w:rPr>
          <w:rFonts w:ascii="Arial" w:hAnsi="Arial" w:cs="Arial"/>
          <w:b/>
        </w:rPr>
      </w:pPr>
      <w:r w:rsidRPr="004214D6">
        <w:rPr>
          <w:rFonts w:ascii="Arial" w:hAnsi="Arial" w:cs="Arial"/>
          <w:b/>
        </w:rPr>
        <w:t>Source:</w:t>
      </w:r>
      <w:r w:rsidRPr="004214D6">
        <w:rPr>
          <w:rFonts w:ascii="Arial" w:hAnsi="Arial" w:cs="Arial"/>
          <w:b/>
        </w:rPr>
        <w:tab/>
        <w:t>TPS</w:t>
      </w:r>
    </w:p>
    <w:p w14:paraId="7DC59B28" w14:textId="0AF03FF5" w:rsidR="00D17187" w:rsidRPr="004214D6" w:rsidRDefault="00D17187" w:rsidP="00D17187">
      <w:pPr>
        <w:ind w:left="2127" w:hanging="2127"/>
        <w:rPr>
          <w:rFonts w:ascii="Arial" w:hAnsi="Arial" w:cs="Arial"/>
          <w:b/>
        </w:rPr>
      </w:pPr>
      <w:r w:rsidRPr="004214D6">
        <w:rPr>
          <w:rFonts w:ascii="Arial" w:hAnsi="Arial" w:cs="Arial"/>
          <w:b/>
        </w:rPr>
        <w:t>Title:</w:t>
      </w:r>
      <w:r w:rsidRPr="004214D6">
        <w:rPr>
          <w:rFonts w:ascii="Arial" w:hAnsi="Arial" w:cs="Arial"/>
          <w:b/>
        </w:rPr>
        <w:tab/>
      </w:r>
      <w:r w:rsidR="00890616">
        <w:rPr>
          <w:rFonts w:ascii="Arial" w:hAnsi="Arial" w:cs="Arial"/>
          <w:b/>
        </w:rPr>
        <w:t>Call Forwarding</w:t>
      </w:r>
      <w:r w:rsidR="00043CF7" w:rsidRPr="004214D6">
        <w:rPr>
          <w:rFonts w:ascii="Arial" w:hAnsi="Arial" w:cs="Arial"/>
          <w:b/>
        </w:rPr>
        <w:t xml:space="preserve"> Requirements Discussion</w:t>
      </w:r>
    </w:p>
    <w:p w14:paraId="20DE4C9D" w14:textId="77777777" w:rsidR="00D17187" w:rsidRPr="004214D6" w:rsidRDefault="00D17187" w:rsidP="00D17187">
      <w:pPr>
        <w:ind w:left="2127" w:hanging="2127"/>
        <w:rPr>
          <w:rFonts w:ascii="Arial" w:hAnsi="Arial" w:cs="Arial"/>
          <w:b/>
        </w:rPr>
      </w:pPr>
      <w:r w:rsidRPr="004214D6">
        <w:rPr>
          <w:rFonts w:ascii="Arial" w:hAnsi="Arial" w:cs="Arial"/>
          <w:b/>
        </w:rPr>
        <w:t>Document for:</w:t>
      </w:r>
      <w:r w:rsidRPr="004214D6">
        <w:rPr>
          <w:rFonts w:ascii="Arial" w:hAnsi="Arial" w:cs="Arial"/>
          <w:b/>
        </w:rPr>
        <w:tab/>
        <w:t xml:space="preserve">Discussion and </w:t>
      </w:r>
      <w:r w:rsidR="00043CF7" w:rsidRPr="004214D6">
        <w:rPr>
          <w:rFonts w:ascii="Arial" w:hAnsi="Arial" w:cs="Arial"/>
          <w:b/>
        </w:rPr>
        <w:t>A</w:t>
      </w:r>
      <w:r w:rsidRPr="004214D6">
        <w:rPr>
          <w:rFonts w:ascii="Arial" w:hAnsi="Arial" w:cs="Arial"/>
          <w:b/>
        </w:rPr>
        <w:t>greement</w:t>
      </w:r>
      <w:r w:rsidR="00043CF7" w:rsidRPr="004214D6">
        <w:rPr>
          <w:rFonts w:ascii="Arial" w:hAnsi="Arial" w:cs="Arial"/>
          <w:b/>
        </w:rPr>
        <w:t xml:space="preserve"> </w:t>
      </w:r>
    </w:p>
    <w:p w14:paraId="0B2DD8EA" w14:textId="77777777" w:rsidR="00D17187" w:rsidRPr="004214D6" w:rsidRDefault="00D17187" w:rsidP="00D17187">
      <w:pPr>
        <w:ind w:left="2127" w:hanging="2127"/>
        <w:rPr>
          <w:rFonts w:ascii="Arial" w:hAnsi="Arial" w:cs="Arial"/>
          <w:b/>
        </w:rPr>
      </w:pPr>
      <w:r w:rsidRPr="004214D6">
        <w:rPr>
          <w:rFonts w:ascii="Arial" w:hAnsi="Arial" w:cs="Arial"/>
          <w:b/>
        </w:rPr>
        <w:t>Agenda Item:</w:t>
      </w:r>
      <w:r w:rsidRPr="004214D6">
        <w:rPr>
          <w:rFonts w:ascii="Arial" w:hAnsi="Arial" w:cs="Arial"/>
          <w:b/>
        </w:rPr>
        <w:tab/>
      </w:r>
    </w:p>
    <w:p w14:paraId="78E72D1F" w14:textId="77777777" w:rsidR="00D17187" w:rsidRPr="004214D6" w:rsidRDefault="00D17187" w:rsidP="00D17187">
      <w:pPr>
        <w:pBdr>
          <w:bottom w:val="single" w:sz="4" w:space="1" w:color="auto"/>
        </w:pBdr>
        <w:ind w:left="2127" w:hanging="2127"/>
        <w:rPr>
          <w:rFonts w:ascii="Arial" w:hAnsi="Arial" w:cs="Arial"/>
          <w:b/>
        </w:rPr>
      </w:pPr>
      <w:r w:rsidRPr="004214D6">
        <w:rPr>
          <w:rFonts w:ascii="Arial" w:hAnsi="Arial" w:cs="Arial"/>
          <w:b/>
        </w:rPr>
        <w:t>Work Item / Release:</w:t>
      </w:r>
      <w:r w:rsidRPr="004214D6">
        <w:rPr>
          <w:rFonts w:ascii="Arial" w:hAnsi="Arial" w:cs="Arial"/>
          <w:b/>
        </w:rPr>
        <w:tab/>
        <w:t>Rel-1</w:t>
      </w:r>
      <w:r w:rsidR="00043CF7" w:rsidRPr="004214D6">
        <w:rPr>
          <w:rFonts w:ascii="Arial" w:hAnsi="Arial" w:cs="Arial"/>
          <w:b/>
        </w:rPr>
        <w:t>1</w:t>
      </w:r>
    </w:p>
    <w:p w14:paraId="57BAED3B" w14:textId="77777777" w:rsidR="00D17187" w:rsidRDefault="00D17187" w:rsidP="00D17187">
      <w:pPr>
        <w:pStyle w:val="Header"/>
      </w:pPr>
    </w:p>
    <w:p w14:paraId="392BCAB9" w14:textId="77777777" w:rsidR="00D17187" w:rsidRDefault="00D17187" w:rsidP="00D171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Introduction</w:t>
      </w:r>
    </w:p>
    <w:p w14:paraId="600CF053" w14:textId="77777777" w:rsidR="00D17187" w:rsidRDefault="00D17187" w:rsidP="00D171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C1CD18" w14:textId="178DAB7D" w:rsidR="00890616" w:rsidRDefault="00890616" w:rsidP="00D17187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noProof/>
          <w:sz w:val="24"/>
        </w:rPr>
        <w:t xml:space="preserve">During the May 2011 meeting, the Chairman requested that members review Action Point (AP) 08-05 “Propose solutions for call forwarding” and if there were no further contributions against this topic, he proposed </w:t>
      </w:r>
      <w:r w:rsidR="00850176">
        <w:rPr>
          <w:noProof/>
          <w:sz w:val="24"/>
        </w:rPr>
        <w:t xml:space="preserve">to close </w:t>
      </w:r>
      <w:r>
        <w:rPr>
          <w:noProof/>
          <w:sz w:val="24"/>
        </w:rPr>
        <w:t xml:space="preserve">the AP.  </w:t>
      </w:r>
    </w:p>
    <w:p w14:paraId="5D0CE398" w14:textId="77777777" w:rsidR="00890616" w:rsidRDefault="00890616" w:rsidP="00D17187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70564108" w14:textId="6FF6CAE9" w:rsidR="00E0541E" w:rsidRPr="00420531" w:rsidRDefault="00890616" w:rsidP="00E0541E">
      <w:pPr>
        <w:pStyle w:val="CRCoverPage"/>
        <w:spacing w:after="0"/>
        <w:ind w:right="-171"/>
        <w:rPr>
          <w:b/>
          <w:noProof/>
          <w:sz w:val="24"/>
        </w:rPr>
      </w:pPr>
      <w:r>
        <w:rPr>
          <w:b/>
          <w:noProof/>
          <w:sz w:val="24"/>
        </w:rPr>
        <w:t>Background</w:t>
      </w:r>
    </w:p>
    <w:p w14:paraId="3809CFF6" w14:textId="77777777" w:rsidR="00E0541E" w:rsidRDefault="00E0541E" w:rsidP="00E0541E">
      <w:pPr>
        <w:pStyle w:val="CRCoverPage"/>
        <w:spacing w:after="0"/>
        <w:ind w:right="-171"/>
        <w:rPr>
          <w:noProof/>
          <w:sz w:val="24"/>
        </w:rPr>
      </w:pPr>
    </w:p>
    <w:p w14:paraId="02A117B5" w14:textId="7EF67B86" w:rsidR="00890616" w:rsidRDefault="004D47E5" w:rsidP="00E0541E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 xml:space="preserve">In trying to determine what contribution(s) might be required to clear this action, </w:t>
      </w:r>
      <w:r w:rsidR="00890616">
        <w:rPr>
          <w:noProof/>
          <w:sz w:val="24"/>
        </w:rPr>
        <w:t xml:space="preserve">TPS found that it was a result of discussions in August 2008 </w:t>
      </w:r>
      <w:r w:rsidR="008D29E0">
        <w:rPr>
          <w:noProof/>
          <w:sz w:val="24"/>
        </w:rPr>
        <w:t xml:space="preserve">on </w:t>
      </w:r>
      <w:r w:rsidR="00890616">
        <w:rPr>
          <w:noProof/>
          <w:sz w:val="24"/>
        </w:rPr>
        <w:t>Dynamic Triggering contribution</w:t>
      </w:r>
      <w:r w:rsidR="008D29E0">
        <w:rPr>
          <w:noProof/>
          <w:sz w:val="24"/>
        </w:rPr>
        <w:t>s SA3LI08_52 and 53</w:t>
      </w:r>
      <w:r w:rsidR="00890616">
        <w:rPr>
          <w:noProof/>
          <w:sz w:val="24"/>
        </w:rPr>
        <w:t>.  The following is from SA3LI08_071r1, the meeting report of SA3-LI#30, 26-28 August 2008.</w:t>
      </w:r>
      <w:r w:rsidR="008D29E0">
        <w:rPr>
          <w:noProof/>
          <w:sz w:val="24"/>
        </w:rPr>
        <w:t xml:space="preserve">  There was no mention of call forwarding in SA3LI08_52.</w:t>
      </w:r>
    </w:p>
    <w:p w14:paraId="48B99F14" w14:textId="77777777" w:rsidR="00890616" w:rsidRDefault="00890616" w:rsidP="00E0541E">
      <w:pPr>
        <w:pStyle w:val="CRCoverPage"/>
        <w:spacing w:after="0"/>
        <w:ind w:right="-171"/>
        <w:rPr>
          <w:noProof/>
          <w:sz w:val="24"/>
        </w:rPr>
      </w:pPr>
    </w:p>
    <w:p w14:paraId="0077C6C8" w14:textId="47E87D38" w:rsidR="00890616" w:rsidRDefault="009F7E10" w:rsidP="0028753D">
      <w:pPr>
        <w:tabs>
          <w:tab w:val="left" w:pos="1310"/>
          <w:tab w:val="left" w:pos="5891"/>
          <w:tab w:val="left" w:pos="7639"/>
        </w:tabs>
        <w:ind w:left="720" w:right="819"/>
        <w:rPr>
          <w:rFonts w:cs="Arial"/>
          <w:b/>
          <w:bCs/>
        </w:rPr>
      </w:pPr>
      <w:hyperlink r:id="rId9" w:tgtFrame="_blank" w:history="1">
        <w:r w:rsidR="00890616">
          <w:rPr>
            <w:rFonts w:cs="Arial"/>
            <w:b/>
            <w:bCs/>
            <w:u w:val="single"/>
          </w:rPr>
          <w:t>SA3LI08_053</w:t>
        </w:r>
      </w:hyperlink>
      <w:r w:rsidR="009A1F22">
        <w:rPr>
          <w:rFonts w:cs="Arial"/>
          <w:b/>
          <w:bCs/>
        </w:rPr>
        <w:t xml:space="preserve">      </w:t>
      </w:r>
      <w:r w:rsidR="00890616">
        <w:rPr>
          <w:rFonts w:cs="Arial"/>
          <w:b/>
          <w:bCs/>
        </w:rPr>
        <w:t>Comments on [NSN] Checking history info header instead of dynamic triggering</w:t>
      </w:r>
    </w:p>
    <w:p w14:paraId="0E119F88" w14:textId="77777777" w:rsidR="00890616" w:rsidRDefault="00890616" w:rsidP="0028753D">
      <w:pPr>
        <w:ind w:left="720" w:right="819"/>
        <w:rPr>
          <w:rFonts w:cs="Arial"/>
          <w:b/>
          <w:bCs/>
        </w:rPr>
      </w:pPr>
      <w:r>
        <w:rPr>
          <w:rFonts w:cs="Arial"/>
          <w:b/>
          <w:bCs/>
        </w:rPr>
        <w:t>BT Group</w:t>
      </w:r>
      <w:r>
        <w:rPr>
          <w:rFonts w:cs="Arial"/>
          <w:b/>
          <w:bCs/>
        </w:rPr>
        <w:tab/>
      </w:r>
    </w:p>
    <w:p w14:paraId="0D9D7F34" w14:textId="77777777" w:rsidR="00890616" w:rsidRDefault="00890616" w:rsidP="0028753D">
      <w:pPr>
        <w:ind w:left="720" w:right="819"/>
      </w:pPr>
      <w:r>
        <w:t xml:space="preserve">Alex </w:t>
      </w:r>
      <w:proofErr w:type="spellStart"/>
      <w:r>
        <w:t>Leadbeater</w:t>
      </w:r>
      <w:proofErr w:type="spellEnd"/>
      <w:r>
        <w:t xml:space="preserve"> presented a detailed examination of the previous document and found it had drawbacks in a number of areas. The meeting rejected the proposal but accepted that there was a need for a solution to call forwarding. The Chairman placed the following action on the group:</w:t>
      </w:r>
    </w:p>
    <w:tbl>
      <w:tblPr>
        <w:tblStyle w:val="TableGrid"/>
        <w:tblW w:w="4482" w:type="pct"/>
        <w:jc w:val="center"/>
        <w:tblInd w:w="828" w:type="dxa"/>
        <w:tblLayout w:type="fixed"/>
        <w:tblLook w:val="01E0" w:firstRow="1" w:lastRow="1" w:firstColumn="1" w:lastColumn="1" w:noHBand="0" w:noVBand="0"/>
      </w:tblPr>
      <w:tblGrid>
        <w:gridCol w:w="2589"/>
        <w:gridCol w:w="4072"/>
        <w:gridCol w:w="2173"/>
      </w:tblGrid>
      <w:tr w:rsidR="0028753D" w14:paraId="6A42E65F" w14:textId="77777777" w:rsidTr="007C3F6A">
        <w:trPr>
          <w:jc w:val="center"/>
        </w:trPr>
        <w:tc>
          <w:tcPr>
            <w:tcW w:w="1465" w:type="pct"/>
          </w:tcPr>
          <w:p w14:paraId="336D532D" w14:textId="77777777" w:rsidR="00890616" w:rsidRDefault="00890616" w:rsidP="0028753D">
            <w:pPr>
              <w:ind w:left="720" w:right="819"/>
              <w:rPr>
                <w:b/>
              </w:rPr>
            </w:pPr>
            <w:r>
              <w:rPr>
                <w:b/>
              </w:rPr>
              <w:t>AP08-05</w:t>
            </w:r>
          </w:p>
        </w:tc>
        <w:tc>
          <w:tcPr>
            <w:tcW w:w="2305" w:type="pct"/>
          </w:tcPr>
          <w:p w14:paraId="041CBBE5" w14:textId="77777777" w:rsidR="00890616" w:rsidRDefault="00890616" w:rsidP="0028753D">
            <w:pPr>
              <w:ind w:left="720" w:right="819"/>
              <w:rPr>
                <w:b/>
              </w:rPr>
            </w:pPr>
            <w:r>
              <w:rPr>
                <w:b/>
              </w:rPr>
              <w:t>Propose solutions for call forwarding</w:t>
            </w:r>
          </w:p>
        </w:tc>
        <w:tc>
          <w:tcPr>
            <w:tcW w:w="1230" w:type="pct"/>
          </w:tcPr>
          <w:p w14:paraId="5D60EBCC" w14:textId="77777777" w:rsidR="00890616" w:rsidRDefault="00890616" w:rsidP="0028753D">
            <w:pPr>
              <w:ind w:left="720" w:right="945"/>
              <w:rPr>
                <w:b/>
              </w:rPr>
            </w:pPr>
            <w:r>
              <w:rPr>
                <w:b/>
              </w:rPr>
              <w:t>All</w:t>
            </w:r>
          </w:p>
        </w:tc>
      </w:tr>
    </w:tbl>
    <w:p w14:paraId="49774AA7" w14:textId="77777777" w:rsidR="00890616" w:rsidRDefault="00890616" w:rsidP="0028753D">
      <w:pPr>
        <w:pStyle w:val="CRCoverPage"/>
        <w:spacing w:after="0"/>
        <w:ind w:left="720" w:right="-171"/>
        <w:rPr>
          <w:noProof/>
          <w:sz w:val="24"/>
        </w:rPr>
      </w:pPr>
    </w:p>
    <w:p w14:paraId="5A3EAC8E" w14:textId="1DF6D3B8" w:rsidR="00850176" w:rsidRDefault="004D47E5" w:rsidP="00850176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noProof/>
          <w:sz w:val="24"/>
        </w:rPr>
        <w:t xml:space="preserve">TPS was unsuccessful in finding </w:t>
      </w:r>
      <w:r w:rsidR="009B1581">
        <w:rPr>
          <w:noProof/>
          <w:sz w:val="24"/>
        </w:rPr>
        <w:t xml:space="preserve">any subsequent </w:t>
      </w:r>
      <w:r>
        <w:rPr>
          <w:noProof/>
          <w:sz w:val="24"/>
        </w:rPr>
        <w:t>contribut</w:t>
      </w:r>
      <w:r w:rsidR="009A1F22">
        <w:rPr>
          <w:noProof/>
          <w:sz w:val="24"/>
        </w:rPr>
        <w:t>i</w:t>
      </w:r>
      <w:r>
        <w:rPr>
          <w:noProof/>
          <w:sz w:val="24"/>
        </w:rPr>
        <w:t>ons on the topic of call forwarding.</w:t>
      </w:r>
      <w:r w:rsidR="009B1581">
        <w:rPr>
          <w:noProof/>
          <w:sz w:val="24"/>
        </w:rPr>
        <w:t xml:space="preserve">  In February 2011, there was some discussion concerning the clarity of the requirements, but it was noted that the Law Enforcement representatives believed the requirements were </w:t>
      </w:r>
      <w:r w:rsidR="00850176">
        <w:rPr>
          <w:noProof/>
          <w:sz w:val="24"/>
        </w:rPr>
        <w:t xml:space="preserve">clear and </w:t>
      </w:r>
      <w:r w:rsidR="009B1581">
        <w:rPr>
          <w:noProof/>
          <w:sz w:val="24"/>
        </w:rPr>
        <w:t>well understoo</w:t>
      </w:r>
      <w:r w:rsidR="009A1F22">
        <w:rPr>
          <w:noProof/>
          <w:sz w:val="24"/>
        </w:rPr>
        <w:t>d</w:t>
      </w:r>
      <w:r w:rsidR="00850176">
        <w:rPr>
          <w:noProof/>
          <w:sz w:val="24"/>
        </w:rPr>
        <w:t xml:space="preserve">.  What was missing was Stage 2 and 3 support.  </w:t>
      </w:r>
    </w:p>
    <w:p w14:paraId="2E917E33" w14:textId="77777777" w:rsidR="004D47E5" w:rsidRDefault="004D47E5" w:rsidP="00E0541E">
      <w:pPr>
        <w:pStyle w:val="CRCoverPage"/>
        <w:spacing w:after="0"/>
        <w:ind w:right="-171"/>
        <w:rPr>
          <w:noProof/>
          <w:sz w:val="24"/>
        </w:rPr>
      </w:pPr>
    </w:p>
    <w:p w14:paraId="2A5AEB26" w14:textId="4BDB8337" w:rsidR="008D29E0" w:rsidRPr="00420531" w:rsidRDefault="008D29E0" w:rsidP="008D29E0">
      <w:pPr>
        <w:pStyle w:val="CRCoverPage"/>
        <w:spacing w:after="0"/>
        <w:ind w:right="-171"/>
        <w:rPr>
          <w:b/>
          <w:noProof/>
          <w:sz w:val="24"/>
        </w:rPr>
      </w:pPr>
      <w:r>
        <w:rPr>
          <w:b/>
          <w:noProof/>
          <w:sz w:val="24"/>
        </w:rPr>
        <w:t>Discussion</w:t>
      </w:r>
    </w:p>
    <w:p w14:paraId="7CFBE6BE" w14:textId="77777777" w:rsidR="008D29E0" w:rsidRDefault="008D29E0" w:rsidP="008D29E0">
      <w:pPr>
        <w:pStyle w:val="CRCoverPage"/>
        <w:spacing w:after="0"/>
        <w:ind w:right="-171"/>
        <w:rPr>
          <w:noProof/>
          <w:sz w:val="24"/>
        </w:rPr>
      </w:pPr>
    </w:p>
    <w:p w14:paraId="2437CBDB" w14:textId="43C71319" w:rsidR="00850176" w:rsidRDefault="008D29E0" w:rsidP="008D29E0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 xml:space="preserve">In TS 33.107, call forwarding for circuit switched </w:t>
      </w:r>
      <w:r w:rsidR="009B1581">
        <w:rPr>
          <w:noProof/>
          <w:sz w:val="24"/>
        </w:rPr>
        <w:t xml:space="preserve">(CS) </w:t>
      </w:r>
      <w:r>
        <w:rPr>
          <w:noProof/>
          <w:sz w:val="24"/>
        </w:rPr>
        <w:t>calls is supported</w:t>
      </w:r>
      <w:r w:rsidR="009B1581">
        <w:rPr>
          <w:noProof/>
          <w:sz w:val="24"/>
        </w:rPr>
        <w:t xml:space="preserve"> in </w:t>
      </w:r>
      <w:r w:rsidR="004D47E5">
        <w:rPr>
          <w:noProof/>
          <w:sz w:val="24"/>
        </w:rPr>
        <w:t xml:space="preserve">clause 6.4.2 with informative Annex A.  </w:t>
      </w:r>
      <w:r w:rsidR="00850176">
        <w:rPr>
          <w:noProof/>
          <w:sz w:val="24"/>
        </w:rPr>
        <w:t xml:space="preserve">Also, in TS 33.108, clause 5, CS domain, supports call forwarding.  </w:t>
      </w:r>
    </w:p>
    <w:p w14:paraId="537E4DDF" w14:textId="77777777" w:rsidR="00850176" w:rsidRDefault="00850176" w:rsidP="008D29E0">
      <w:pPr>
        <w:pStyle w:val="CRCoverPage"/>
        <w:spacing w:after="0"/>
        <w:ind w:right="-171"/>
        <w:rPr>
          <w:noProof/>
          <w:sz w:val="24"/>
        </w:rPr>
      </w:pPr>
    </w:p>
    <w:p w14:paraId="10F499DD" w14:textId="1164BAD1" w:rsidR="004D47E5" w:rsidRDefault="00850176" w:rsidP="008D29E0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 xml:space="preserve">In TS 33.107, </w:t>
      </w:r>
      <w:r w:rsidR="004D47E5">
        <w:rPr>
          <w:noProof/>
          <w:sz w:val="24"/>
        </w:rPr>
        <w:t xml:space="preserve">Call Forwarding in </w:t>
      </w:r>
      <w:r w:rsidR="009B1581">
        <w:rPr>
          <w:noProof/>
          <w:sz w:val="24"/>
        </w:rPr>
        <w:t>i</w:t>
      </w:r>
      <w:r w:rsidR="004D47E5">
        <w:rPr>
          <w:noProof/>
          <w:sz w:val="24"/>
        </w:rPr>
        <w:t xml:space="preserve">nformative Annex C, </w:t>
      </w:r>
      <w:r w:rsidR="004D47E5" w:rsidRPr="004D47E5">
        <w:rPr>
          <w:noProof/>
          <w:sz w:val="24"/>
        </w:rPr>
        <w:t>Information flows for the invocation of Lawful Interception for Packet Data with multimedia</w:t>
      </w:r>
      <w:r w:rsidR="004D47E5">
        <w:rPr>
          <w:noProof/>
          <w:sz w:val="24"/>
        </w:rPr>
        <w:t xml:space="preserve">, in clause C.4, </w:t>
      </w:r>
      <w:r w:rsidR="004D47E5" w:rsidRPr="004D47E5">
        <w:rPr>
          <w:noProof/>
          <w:sz w:val="24"/>
        </w:rPr>
        <w:t>Multimedia with Supplementary Service – Call Forwarding</w:t>
      </w:r>
      <w:r w:rsidR="004D47E5">
        <w:rPr>
          <w:noProof/>
          <w:sz w:val="24"/>
        </w:rPr>
        <w:t xml:space="preserve">, is not defined. </w:t>
      </w:r>
      <w:r>
        <w:rPr>
          <w:noProof/>
          <w:sz w:val="24"/>
        </w:rPr>
        <w:t xml:space="preserve"> In TS 33.108, </w:t>
      </w:r>
      <w:r w:rsidR="004D47E5">
        <w:rPr>
          <w:noProof/>
          <w:sz w:val="24"/>
        </w:rPr>
        <w:t xml:space="preserve">Clause 7.5, IRI for IMS, </w:t>
      </w:r>
      <w:r>
        <w:rPr>
          <w:noProof/>
          <w:sz w:val="24"/>
        </w:rPr>
        <w:t xml:space="preserve">mentions </w:t>
      </w:r>
      <w:r w:rsidR="004D47E5">
        <w:rPr>
          <w:noProof/>
          <w:sz w:val="24"/>
        </w:rPr>
        <w:t>call forwarding</w:t>
      </w:r>
      <w:r>
        <w:rPr>
          <w:noProof/>
          <w:sz w:val="24"/>
        </w:rPr>
        <w:t xml:space="preserve">, </w:t>
      </w:r>
      <w:r w:rsidR="004D47E5">
        <w:rPr>
          <w:noProof/>
          <w:sz w:val="24"/>
        </w:rPr>
        <w:t>“</w:t>
      </w:r>
      <w:r w:rsidR="004D47E5" w:rsidRPr="004D47E5">
        <w:rPr>
          <w:noProof/>
          <w:sz w:val="24"/>
        </w:rPr>
        <w:t>In addition, information on non-transmission related actions of a target constitute IRI and is sent via HI2, e.g. information on SIP message with call forwarding configuration information.</w:t>
      </w:r>
      <w:r w:rsidR="004D47E5">
        <w:rPr>
          <w:noProof/>
          <w:sz w:val="24"/>
        </w:rPr>
        <w:t xml:space="preserve">” </w:t>
      </w:r>
    </w:p>
    <w:p w14:paraId="55F28033" w14:textId="77777777" w:rsidR="004D47E5" w:rsidRDefault="004D47E5" w:rsidP="008D29E0">
      <w:pPr>
        <w:pStyle w:val="CRCoverPage"/>
        <w:spacing w:after="0"/>
        <w:ind w:right="-171"/>
        <w:rPr>
          <w:noProof/>
          <w:sz w:val="24"/>
        </w:rPr>
      </w:pPr>
    </w:p>
    <w:p w14:paraId="66D01456" w14:textId="605FAEC7" w:rsidR="008D29E0" w:rsidRDefault="009B1581" w:rsidP="008D29E0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lastRenderedPageBreak/>
        <w:t>Since call forwarding seems to be supported in CS</w:t>
      </w:r>
      <w:r w:rsidR="00EA6F3A">
        <w:rPr>
          <w:noProof/>
          <w:sz w:val="24"/>
        </w:rPr>
        <w:t xml:space="preserve"> domain</w:t>
      </w:r>
      <w:r>
        <w:rPr>
          <w:noProof/>
          <w:sz w:val="24"/>
        </w:rPr>
        <w:t xml:space="preserve">, the needed LI solution for call forwarding must be in the </w:t>
      </w:r>
      <w:r w:rsidR="00EA6F3A">
        <w:rPr>
          <w:noProof/>
          <w:sz w:val="24"/>
        </w:rPr>
        <w:t>P</w:t>
      </w:r>
      <w:r>
        <w:rPr>
          <w:noProof/>
          <w:sz w:val="24"/>
        </w:rPr>
        <w:t xml:space="preserve">acket </w:t>
      </w:r>
      <w:r w:rsidR="00EA6F3A">
        <w:rPr>
          <w:noProof/>
          <w:sz w:val="24"/>
        </w:rPr>
        <w:t>S</w:t>
      </w:r>
      <w:r>
        <w:rPr>
          <w:noProof/>
          <w:sz w:val="24"/>
        </w:rPr>
        <w:t xml:space="preserve">witched (PS) or IP Multi-media Subsystem (IMS) domains.  </w:t>
      </w:r>
    </w:p>
    <w:p w14:paraId="3CB3E49B" w14:textId="77777777" w:rsidR="008D29E0" w:rsidRDefault="008D29E0" w:rsidP="00E0541E">
      <w:pPr>
        <w:pStyle w:val="CRCoverPage"/>
        <w:spacing w:after="0"/>
        <w:ind w:right="-171"/>
        <w:rPr>
          <w:noProof/>
          <w:sz w:val="24"/>
        </w:rPr>
      </w:pPr>
    </w:p>
    <w:p w14:paraId="57B5F5A2" w14:textId="16D759ED" w:rsidR="00E0541E" w:rsidRPr="00043CF7" w:rsidRDefault="0028753D" w:rsidP="00E0541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Conclusion</w:t>
      </w:r>
    </w:p>
    <w:p w14:paraId="786B4223" w14:textId="4C34420B" w:rsidR="0028753D" w:rsidRDefault="001058C4" w:rsidP="0028753D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>I</w:t>
      </w:r>
      <w:r w:rsidR="0028753D">
        <w:rPr>
          <w:noProof/>
          <w:sz w:val="24"/>
        </w:rPr>
        <w:t xml:space="preserve">n the case of </w:t>
      </w:r>
      <w:r>
        <w:rPr>
          <w:noProof/>
          <w:sz w:val="24"/>
        </w:rPr>
        <w:t xml:space="preserve">LI reporting for </w:t>
      </w:r>
      <w:r w:rsidR="0028753D">
        <w:rPr>
          <w:noProof/>
          <w:sz w:val="24"/>
        </w:rPr>
        <w:t>call forwarding in the PS/IMS domain,</w:t>
      </w:r>
      <w:r>
        <w:rPr>
          <w:noProof/>
          <w:sz w:val="24"/>
        </w:rPr>
        <w:t xml:space="preserve"> </w:t>
      </w:r>
      <w:r w:rsidR="00850176">
        <w:rPr>
          <w:noProof/>
          <w:sz w:val="24"/>
        </w:rPr>
        <w:t xml:space="preserve">not only does </w:t>
      </w:r>
      <w:r>
        <w:rPr>
          <w:noProof/>
          <w:sz w:val="24"/>
        </w:rPr>
        <w:t xml:space="preserve">3GPP TS 33.106 </w:t>
      </w:r>
      <w:r w:rsidR="00EA6F3A">
        <w:rPr>
          <w:noProof/>
          <w:sz w:val="24"/>
        </w:rPr>
        <w:t xml:space="preserve">not have </w:t>
      </w:r>
      <w:r>
        <w:rPr>
          <w:noProof/>
          <w:sz w:val="24"/>
        </w:rPr>
        <w:t xml:space="preserve">an explicit </w:t>
      </w:r>
      <w:r w:rsidR="00EA6F3A">
        <w:rPr>
          <w:noProof/>
          <w:sz w:val="24"/>
        </w:rPr>
        <w:t xml:space="preserve">call forwarding </w:t>
      </w:r>
      <w:r>
        <w:rPr>
          <w:noProof/>
          <w:sz w:val="24"/>
        </w:rPr>
        <w:t xml:space="preserve">requirement for </w:t>
      </w:r>
      <w:r w:rsidR="00EA6F3A">
        <w:rPr>
          <w:noProof/>
          <w:sz w:val="24"/>
        </w:rPr>
        <w:t>Voice over Internet Protocol (</w:t>
      </w:r>
      <w:r>
        <w:rPr>
          <w:noProof/>
          <w:sz w:val="24"/>
        </w:rPr>
        <w:t>VoIP</w:t>
      </w:r>
      <w:r w:rsidR="00EA6F3A">
        <w:rPr>
          <w:noProof/>
          <w:sz w:val="24"/>
        </w:rPr>
        <w:t>)</w:t>
      </w:r>
      <w:r w:rsidR="00850176">
        <w:rPr>
          <w:noProof/>
          <w:sz w:val="24"/>
        </w:rPr>
        <w:t xml:space="preserve">, TS 33.106 does not have an explicit requirement for </w:t>
      </w:r>
      <w:r>
        <w:rPr>
          <w:noProof/>
          <w:sz w:val="24"/>
        </w:rPr>
        <w:t xml:space="preserve">IMS VoIP </w:t>
      </w:r>
      <w:r w:rsidR="00850176">
        <w:rPr>
          <w:noProof/>
          <w:sz w:val="24"/>
        </w:rPr>
        <w:t>at all.  C</w:t>
      </w:r>
      <w:r>
        <w:rPr>
          <w:noProof/>
          <w:sz w:val="24"/>
        </w:rPr>
        <w:t xml:space="preserve">all forwarding </w:t>
      </w:r>
      <w:r w:rsidR="00850176">
        <w:rPr>
          <w:noProof/>
          <w:sz w:val="24"/>
        </w:rPr>
        <w:t xml:space="preserve">can be considered as a </w:t>
      </w:r>
      <w:r>
        <w:rPr>
          <w:noProof/>
          <w:sz w:val="24"/>
        </w:rPr>
        <w:t>supplementary service for VoIP</w:t>
      </w:r>
      <w:r w:rsidR="00850176">
        <w:rPr>
          <w:noProof/>
          <w:sz w:val="24"/>
        </w:rPr>
        <w:t>, with reporting requirements similar to the CS domain</w:t>
      </w:r>
      <w:r>
        <w:rPr>
          <w:noProof/>
          <w:sz w:val="24"/>
        </w:rPr>
        <w:t>.</w:t>
      </w:r>
      <w:r w:rsidR="0028753D" w:rsidRPr="009B1581">
        <w:rPr>
          <w:noProof/>
          <w:sz w:val="24"/>
        </w:rPr>
        <w:t xml:space="preserve">  LI for CS</w:t>
      </w:r>
      <w:r w:rsidR="00EA6F3A">
        <w:rPr>
          <w:noProof/>
          <w:sz w:val="24"/>
        </w:rPr>
        <w:t xml:space="preserve"> domain</w:t>
      </w:r>
      <w:r w:rsidR="0028753D" w:rsidRPr="009B1581">
        <w:rPr>
          <w:noProof/>
          <w:sz w:val="24"/>
        </w:rPr>
        <w:t xml:space="preserve"> includes the reporting of call related events (i.e., Call Establishment, </w:t>
      </w:r>
      <w:r w:rsidR="0028753D" w:rsidRPr="009B1581">
        <w:rPr>
          <w:noProof/>
          <w:sz w:val="24"/>
        </w:rPr>
        <w:tab/>
        <w:t xml:space="preserve">Answer, Supplementary Service, Handover, </w:t>
      </w:r>
      <w:r w:rsidR="0028753D">
        <w:rPr>
          <w:noProof/>
          <w:sz w:val="24"/>
        </w:rPr>
        <w:t xml:space="preserve">and </w:t>
      </w:r>
      <w:r w:rsidR="0028753D" w:rsidRPr="009B1581">
        <w:rPr>
          <w:noProof/>
          <w:sz w:val="24"/>
        </w:rPr>
        <w:t>Release) and non-call related Events (i.e., SMS, Location Update, and Subscriber Controlled Input</w:t>
      </w:r>
      <w:r w:rsidR="0028753D">
        <w:rPr>
          <w:noProof/>
          <w:sz w:val="24"/>
        </w:rPr>
        <w:t>).</w:t>
      </w:r>
      <w:r w:rsidR="00EA6F3A">
        <w:rPr>
          <w:noProof/>
          <w:sz w:val="24"/>
        </w:rPr>
        <w:t xml:space="preserve">  </w:t>
      </w:r>
    </w:p>
    <w:p w14:paraId="45D54175" w14:textId="77777777" w:rsidR="0028753D" w:rsidRDefault="0028753D" w:rsidP="0028753D">
      <w:pPr>
        <w:pStyle w:val="CRCoverPage"/>
        <w:spacing w:after="0"/>
        <w:ind w:right="-171"/>
        <w:rPr>
          <w:noProof/>
          <w:sz w:val="24"/>
        </w:rPr>
      </w:pPr>
    </w:p>
    <w:p w14:paraId="213D1260" w14:textId="6E0923CF" w:rsidR="0028753D" w:rsidRDefault="001058C4" w:rsidP="0028753D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>A</w:t>
      </w:r>
      <w:r w:rsidR="0028753D">
        <w:rPr>
          <w:noProof/>
          <w:sz w:val="24"/>
        </w:rPr>
        <w:t xml:space="preserve">nother aspect of providing a solution for </w:t>
      </w:r>
      <w:r w:rsidR="00850176">
        <w:rPr>
          <w:noProof/>
          <w:sz w:val="24"/>
        </w:rPr>
        <w:t>PS/</w:t>
      </w:r>
      <w:r w:rsidR="0028753D">
        <w:rPr>
          <w:noProof/>
          <w:sz w:val="24"/>
        </w:rPr>
        <w:t>IMS VoIP call forwarding is in the identification of the ICEs (</w:t>
      </w:r>
      <w:r>
        <w:rPr>
          <w:noProof/>
          <w:sz w:val="24"/>
        </w:rPr>
        <w:t>e.g.,</w:t>
      </w:r>
      <w:r w:rsidR="0028753D">
        <w:rPr>
          <w:noProof/>
          <w:sz w:val="24"/>
        </w:rPr>
        <w:t xml:space="preserve"> the SGSN and the GGSN).  In some call forwarding scenarios, the </w:t>
      </w:r>
      <w:r w:rsidR="00EA6F3A">
        <w:rPr>
          <w:noProof/>
          <w:sz w:val="24"/>
        </w:rPr>
        <w:t>Communication Content (</w:t>
      </w:r>
      <w:r w:rsidR="0028753D">
        <w:rPr>
          <w:noProof/>
          <w:sz w:val="24"/>
        </w:rPr>
        <w:t>CC</w:t>
      </w:r>
      <w:r w:rsidR="00EA6F3A">
        <w:rPr>
          <w:noProof/>
          <w:sz w:val="24"/>
        </w:rPr>
        <w:t>)</w:t>
      </w:r>
      <w:r w:rsidR="0028753D">
        <w:rPr>
          <w:noProof/>
          <w:sz w:val="24"/>
        </w:rPr>
        <w:t xml:space="preserve"> is </w:t>
      </w:r>
      <w:r w:rsidR="00850176">
        <w:rPr>
          <w:noProof/>
          <w:sz w:val="24"/>
        </w:rPr>
        <w:t>un</w:t>
      </w:r>
      <w:r w:rsidR="0028753D">
        <w:rPr>
          <w:noProof/>
          <w:sz w:val="24"/>
        </w:rPr>
        <w:t xml:space="preserve">available at these nodes, but is still within the </w:t>
      </w:r>
      <w:r w:rsidR="00850176">
        <w:rPr>
          <w:noProof/>
          <w:sz w:val="24"/>
        </w:rPr>
        <w:t xml:space="preserve">carrier’s </w:t>
      </w:r>
      <w:r w:rsidR="0028753D">
        <w:rPr>
          <w:noProof/>
          <w:sz w:val="24"/>
        </w:rPr>
        <w:t>network</w:t>
      </w:r>
      <w:r w:rsidR="009A1F22">
        <w:rPr>
          <w:noProof/>
          <w:sz w:val="24"/>
        </w:rPr>
        <w:t>, such as at a Media Gateway</w:t>
      </w:r>
      <w:r w:rsidR="0028753D">
        <w:rPr>
          <w:noProof/>
          <w:sz w:val="24"/>
        </w:rPr>
        <w:t>.  The 3GPP LI solution</w:t>
      </w:r>
      <w:r>
        <w:rPr>
          <w:noProof/>
          <w:sz w:val="24"/>
        </w:rPr>
        <w:t>s for</w:t>
      </w:r>
      <w:r w:rsidR="0028753D">
        <w:rPr>
          <w:noProof/>
          <w:sz w:val="24"/>
        </w:rPr>
        <w:t xml:space="preserve"> PS/IMS would require some modification </w:t>
      </w:r>
      <w:r w:rsidR="00850176">
        <w:rPr>
          <w:noProof/>
          <w:sz w:val="24"/>
        </w:rPr>
        <w:t xml:space="preserve">to the identified ICEs </w:t>
      </w:r>
      <w:r w:rsidR="0028753D">
        <w:rPr>
          <w:noProof/>
          <w:sz w:val="24"/>
        </w:rPr>
        <w:t>to support IMS VoIP call forwarding.</w:t>
      </w:r>
    </w:p>
    <w:p w14:paraId="3872DD44" w14:textId="77777777" w:rsidR="0028753D" w:rsidRDefault="0028753D" w:rsidP="0028753D">
      <w:pPr>
        <w:pStyle w:val="CRCoverPage"/>
        <w:spacing w:after="0"/>
        <w:ind w:right="-171"/>
        <w:rPr>
          <w:noProof/>
          <w:sz w:val="24"/>
        </w:rPr>
      </w:pPr>
    </w:p>
    <w:p w14:paraId="299F5BC9" w14:textId="049F5DD9" w:rsidR="0028753D" w:rsidRDefault="0028753D" w:rsidP="0028753D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 xml:space="preserve">There are a few </w:t>
      </w:r>
      <w:r w:rsidR="005E4525">
        <w:rPr>
          <w:noProof/>
          <w:sz w:val="24"/>
        </w:rPr>
        <w:t xml:space="preserve">ramifications from </w:t>
      </w:r>
      <w:r>
        <w:rPr>
          <w:noProof/>
          <w:sz w:val="24"/>
        </w:rPr>
        <w:t>the call forwarding action identified</w:t>
      </w:r>
      <w:r w:rsidR="005E4525">
        <w:rPr>
          <w:noProof/>
          <w:sz w:val="24"/>
        </w:rPr>
        <w:t>:</w:t>
      </w:r>
    </w:p>
    <w:p w14:paraId="16A12066" w14:textId="77777777" w:rsidR="0028753D" w:rsidRDefault="0028753D" w:rsidP="0028753D">
      <w:pPr>
        <w:pStyle w:val="CRCoverPage"/>
        <w:spacing w:after="0"/>
        <w:ind w:right="-171"/>
        <w:rPr>
          <w:noProof/>
          <w:sz w:val="24"/>
        </w:rPr>
      </w:pPr>
    </w:p>
    <w:p w14:paraId="38063A5A" w14:textId="6FAFB97A" w:rsidR="0028753D" w:rsidRDefault="0028753D" w:rsidP="0028753D">
      <w:pPr>
        <w:pStyle w:val="CRCoverPage"/>
        <w:numPr>
          <w:ilvl w:val="0"/>
          <w:numId w:val="23"/>
        </w:numPr>
        <w:spacing w:after="0"/>
        <w:ind w:left="540" w:right="-171" w:hanging="180"/>
        <w:rPr>
          <w:noProof/>
          <w:sz w:val="24"/>
        </w:rPr>
      </w:pPr>
      <w:r>
        <w:rPr>
          <w:noProof/>
          <w:sz w:val="24"/>
        </w:rPr>
        <w:t xml:space="preserve">There </w:t>
      </w:r>
      <w:r w:rsidR="008F31A7">
        <w:rPr>
          <w:noProof/>
          <w:sz w:val="24"/>
        </w:rPr>
        <w:t>is</w:t>
      </w:r>
      <w:r w:rsidR="00850176">
        <w:rPr>
          <w:noProof/>
          <w:sz w:val="24"/>
        </w:rPr>
        <w:t xml:space="preserve"> </w:t>
      </w:r>
      <w:r w:rsidR="001058C4">
        <w:rPr>
          <w:noProof/>
          <w:sz w:val="24"/>
        </w:rPr>
        <w:t>no explicit requirement in 3GPP TS 33.106</w:t>
      </w:r>
      <w:r>
        <w:rPr>
          <w:noProof/>
          <w:sz w:val="24"/>
        </w:rPr>
        <w:t xml:space="preserve"> to report LI on a per service basis.  This can be </w:t>
      </w:r>
      <w:r w:rsidR="001058C4">
        <w:rPr>
          <w:noProof/>
          <w:sz w:val="24"/>
        </w:rPr>
        <w:t xml:space="preserve">supported </w:t>
      </w:r>
      <w:r>
        <w:rPr>
          <w:noProof/>
          <w:sz w:val="24"/>
        </w:rPr>
        <w:t>as a national option.</w:t>
      </w:r>
    </w:p>
    <w:p w14:paraId="1A33545D" w14:textId="575EB210" w:rsidR="0028753D" w:rsidRDefault="0028753D" w:rsidP="0028753D">
      <w:pPr>
        <w:pStyle w:val="CRCoverPage"/>
        <w:numPr>
          <w:ilvl w:val="0"/>
          <w:numId w:val="23"/>
        </w:numPr>
        <w:spacing w:after="0"/>
        <w:ind w:left="540" w:right="-171" w:hanging="180"/>
        <w:rPr>
          <w:noProof/>
          <w:sz w:val="24"/>
        </w:rPr>
      </w:pPr>
      <w:r>
        <w:rPr>
          <w:noProof/>
          <w:sz w:val="24"/>
        </w:rPr>
        <w:t xml:space="preserve">There </w:t>
      </w:r>
      <w:r w:rsidR="008F31A7">
        <w:rPr>
          <w:noProof/>
          <w:sz w:val="24"/>
        </w:rPr>
        <w:t>is no</w:t>
      </w:r>
      <w:r>
        <w:rPr>
          <w:noProof/>
          <w:sz w:val="24"/>
        </w:rPr>
        <w:t xml:space="preserve"> explicit requirement to provide continuity of LI reporting.  This relates to the call forwarding scenario, as well as to scenarios involving service continuity (e.g., transitions among different </w:t>
      </w:r>
      <w:r w:rsidR="00EA6F3A">
        <w:rPr>
          <w:noProof/>
          <w:sz w:val="24"/>
        </w:rPr>
        <w:t>Radio Access Networks (</w:t>
      </w:r>
      <w:r>
        <w:rPr>
          <w:noProof/>
          <w:sz w:val="24"/>
        </w:rPr>
        <w:t>RANs</w:t>
      </w:r>
      <w:r w:rsidR="00EA6F3A">
        <w:rPr>
          <w:noProof/>
          <w:sz w:val="24"/>
        </w:rPr>
        <w:t>)</w:t>
      </w:r>
      <w:r>
        <w:rPr>
          <w:noProof/>
          <w:sz w:val="24"/>
        </w:rPr>
        <w:t xml:space="preserve"> or different domains).  This also impacts correlation pre- and post- </w:t>
      </w:r>
      <w:r w:rsidR="008F31A7">
        <w:rPr>
          <w:noProof/>
          <w:sz w:val="24"/>
        </w:rPr>
        <w:t xml:space="preserve">call </w:t>
      </w:r>
      <w:r>
        <w:rPr>
          <w:noProof/>
          <w:sz w:val="24"/>
        </w:rPr>
        <w:t xml:space="preserve">forwarding and </w:t>
      </w:r>
      <w:r w:rsidR="008F31A7">
        <w:rPr>
          <w:noProof/>
          <w:sz w:val="24"/>
        </w:rPr>
        <w:t xml:space="preserve">RAN </w:t>
      </w:r>
      <w:r>
        <w:rPr>
          <w:noProof/>
          <w:sz w:val="24"/>
        </w:rPr>
        <w:t>transitions.</w:t>
      </w:r>
    </w:p>
    <w:p w14:paraId="1BC21133" w14:textId="66E1E6A7" w:rsidR="0028753D" w:rsidRPr="0028753D" w:rsidRDefault="0028753D" w:rsidP="0028753D">
      <w:pPr>
        <w:pStyle w:val="CRCoverPage"/>
        <w:numPr>
          <w:ilvl w:val="0"/>
          <w:numId w:val="23"/>
        </w:numPr>
        <w:spacing w:after="0"/>
        <w:ind w:left="540" w:right="-171" w:hanging="180"/>
        <w:rPr>
          <w:noProof/>
          <w:sz w:val="24"/>
        </w:rPr>
      </w:pPr>
      <w:r w:rsidRPr="0028753D">
        <w:rPr>
          <w:noProof/>
          <w:sz w:val="24"/>
        </w:rPr>
        <w:t xml:space="preserve">There is </w:t>
      </w:r>
      <w:r w:rsidR="008F31A7">
        <w:rPr>
          <w:noProof/>
          <w:sz w:val="24"/>
        </w:rPr>
        <w:t>no</w:t>
      </w:r>
      <w:r w:rsidRPr="0028753D">
        <w:rPr>
          <w:noProof/>
          <w:sz w:val="24"/>
        </w:rPr>
        <w:t xml:space="preserve"> explicit requirement to support IMS VoIP call forwarding.</w:t>
      </w:r>
    </w:p>
    <w:p w14:paraId="7F1A8BD1" w14:textId="77777777" w:rsidR="0028753D" w:rsidRDefault="0028753D" w:rsidP="0028753D">
      <w:pPr>
        <w:pStyle w:val="CRCoverPage"/>
        <w:spacing w:after="0"/>
        <w:ind w:left="540" w:right="-171" w:hanging="180"/>
        <w:rPr>
          <w:noProof/>
          <w:sz w:val="24"/>
        </w:rPr>
      </w:pPr>
    </w:p>
    <w:p w14:paraId="285E979C" w14:textId="2C3299C5" w:rsidR="00567F7E" w:rsidRDefault="0028753D" w:rsidP="0028753D">
      <w:pPr>
        <w:pStyle w:val="CRCoverPage"/>
        <w:spacing w:after="0"/>
        <w:ind w:right="-171"/>
        <w:rPr>
          <w:b/>
          <w:noProof/>
          <w:sz w:val="24"/>
        </w:rPr>
      </w:pPr>
      <w:r>
        <w:rPr>
          <w:noProof/>
          <w:sz w:val="24"/>
        </w:rPr>
        <w:t xml:space="preserve">TPS has drafted two CRs to TS 33.106 concerning these </w:t>
      </w:r>
      <w:r w:rsidR="00EA6F3A">
        <w:rPr>
          <w:noProof/>
          <w:sz w:val="24"/>
        </w:rPr>
        <w:t>aspects</w:t>
      </w:r>
      <w:r>
        <w:rPr>
          <w:noProof/>
          <w:sz w:val="24"/>
        </w:rPr>
        <w:t xml:space="preserve">.  They are found at </w:t>
      </w:r>
      <w:r w:rsidR="004D609D">
        <w:rPr>
          <w:noProof/>
          <w:sz w:val="24"/>
        </w:rPr>
        <w:t xml:space="preserve">SA3LI11_093 </w:t>
      </w:r>
      <w:r>
        <w:rPr>
          <w:noProof/>
          <w:sz w:val="24"/>
        </w:rPr>
        <w:t xml:space="preserve">and </w:t>
      </w:r>
      <w:r w:rsidR="004D609D">
        <w:rPr>
          <w:noProof/>
          <w:sz w:val="24"/>
        </w:rPr>
        <w:t>SA3LI11_094</w:t>
      </w:r>
      <w:r>
        <w:rPr>
          <w:noProof/>
          <w:sz w:val="24"/>
        </w:rPr>
        <w:t xml:space="preserve">.  </w:t>
      </w:r>
    </w:p>
    <w:p w14:paraId="2896C2CD" w14:textId="77777777" w:rsidR="0028753D" w:rsidRDefault="0028753D" w:rsidP="00E054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DAD39" w14:textId="77777777" w:rsidR="00400A0D" w:rsidRDefault="00400A0D" w:rsidP="00400A0D">
      <w:pPr>
        <w:pStyle w:val="CRCoverPage"/>
        <w:spacing w:after="0"/>
        <w:ind w:right="-171"/>
        <w:rPr>
          <w:b/>
          <w:noProof/>
          <w:sz w:val="24"/>
        </w:rPr>
      </w:pPr>
      <w:r>
        <w:rPr>
          <w:b/>
          <w:noProof/>
          <w:sz w:val="24"/>
        </w:rPr>
        <w:t>Recommendation</w:t>
      </w:r>
    </w:p>
    <w:p w14:paraId="6ACB5A51" w14:textId="77777777" w:rsidR="00400A0D" w:rsidRPr="001177C1" w:rsidRDefault="00400A0D" w:rsidP="00400A0D">
      <w:pPr>
        <w:pStyle w:val="CRCoverPage"/>
        <w:spacing w:after="0"/>
        <w:ind w:right="-171"/>
        <w:rPr>
          <w:b/>
          <w:noProof/>
          <w:sz w:val="24"/>
        </w:rPr>
      </w:pPr>
    </w:p>
    <w:p w14:paraId="1654C3F3" w14:textId="271CADCA" w:rsidR="00400A0D" w:rsidRPr="001177C1" w:rsidRDefault="00400A0D" w:rsidP="00400A0D">
      <w:pPr>
        <w:pStyle w:val="CRCoverPage"/>
        <w:spacing w:after="0"/>
        <w:ind w:right="-171"/>
        <w:rPr>
          <w:noProof/>
          <w:sz w:val="24"/>
        </w:rPr>
      </w:pPr>
      <w:r>
        <w:rPr>
          <w:noProof/>
          <w:sz w:val="24"/>
        </w:rPr>
        <w:t xml:space="preserve">Discuss and </w:t>
      </w:r>
      <w:r w:rsidR="0028753D">
        <w:rPr>
          <w:noProof/>
          <w:sz w:val="24"/>
        </w:rPr>
        <w:t xml:space="preserve">approve CRs found at </w:t>
      </w:r>
      <w:r w:rsidR="004D609D">
        <w:rPr>
          <w:noProof/>
          <w:sz w:val="24"/>
        </w:rPr>
        <w:t>SA3LI11_093 and SA3LI11_094</w:t>
      </w:r>
      <w:bookmarkStart w:id="1" w:name="_GoBack"/>
      <w:bookmarkEnd w:id="1"/>
      <w:r>
        <w:rPr>
          <w:noProof/>
          <w:sz w:val="24"/>
        </w:rPr>
        <w:t>.</w:t>
      </w:r>
      <w:r w:rsidRPr="001177C1">
        <w:rPr>
          <w:noProof/>
          <w:sz w:val="24"/>
        </w:rPr>
        <w:t xml:space="preserve"> </w:t>
      </w:r>
    </w:p>
    <w:bookmarkEnd w:id="0"/>
    <w:p w14:paraId="4CEDF1C1" w14:textId="77777777" w:rsidR="00400A0D" w:rsidRDefault="00400A0D" w:rsidP="001177C1">
      <w:pPr>
        <w:pStyle w:val="CRCoverPage"/>
        <w:spacing w:after="0"/>
        <w:ind w:right="-171"/>
        <w:rPr>
          <w:noProof/>
          <w:sz w:val="24"/>
        </w:rPr>
      </w:pPr>
    </w:p>
    <w:sectPr w:rsidR="00400A0D">
      <w:headerReference w:type="default" r:id="rId10"/>
      <w:footerReference w:type="default" r:id="rId11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38B9A" w14:textId="77777777" w:rsidR="009F7E10" w:rsidRDefault="009F7E10">
      <w:r>
        <w:separator/>
      </w:r>
    </w:p>
  </w:endnote>
  <w:endnote w:type="continuationSeparator" w:id="0">
    <w:p w14:paraId="6A12CB53" w14:textId="77777777" w:rsidR="009F7E10" w:rsidRDefault="009F7E10">
      <w:r>
        <w:continuationSeparator/>
      </w:r>
    </w:p>
  </w:endnote>
  <w:endnote w:type="continuationNotice" w:id="1">
    <w:p w14:paraId="536B37D7" w14:textId="77777777" w:rsidR="009F7E10" w:rsidRDefault="009F7E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8D36C" w14:textId="77777777" w:rsidR="00997D04" w:rsidRDefault="00997D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2E9A4" w14:textId="77777777" w:rsidR="009F7E10" w:rsidRDefault="009F7E10">
      <w:r>
        <w:separator/>
      </w:r>
    </w:p>
  </w:footnote>
  <w:footnote w:type="continuationSeparator" w:id="0">
    <w:p w14:paraId="3F451DF7" w14:textId="77777777" w:rsidR="009F7E10" w:rsidRDefault="009F7E10">
      <w:r>
        <w:continuationSeparator/>
      </w:r>
    </w:p>
  </w:footnote>
  <w:footnote w:type="continuationNotice" w:id="1">
    <w:p w14:paraId="37E915AA" w14:textId="77777777" w:rsidR="009F7E10" w:rsidRDefault="009F7E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15296" w14:textId="491F44DA" w:rsidR="004D609D" w:rsidRDefault="004D609D" w:rsidP="004D609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TSG-SA3LI Meeting #42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>
      <w:rPr>
        <w:noProof/>
      </w:rPr>
      <w:t>SA3LI11_0</w:t>
    </w:r>
    <w:r>
      <w:rPr>
        <w:noProof/>
      </w:rPr>
      <w:t>92</w:t>
    </w:r>
  </w:p>
  <w:p w14:paraId="242471D1" w14:textId="31DA2812" w:rsidR="004D609D" w:rsidRPr="004D609D" w:rsidRDefault="004D609D" w:rsidP="004D609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Malta, 30 August – 1 September 2011</w:t>
    </w:r>
  </w:p>
  <w:p w14:paraId="01304343" w14:textId="77777777" w:rsidR="00997D04" w:rsidRPr="00BD2FCD" w:rsidRDefault="00997D04" w:rsidP="00BD2F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7D141A"/>
    <w:multiLevelType w:val="hybridMultilevel"/>
    <w:tmpl w:val="C212B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056FA"/>
    <w:multiLevelType w:val="hybridMultilevel"/>
    <w:tmpl w:val="1B8C0E14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F654A"/>
    <w:multiLevelType w:val="hybridMultilevel"/>
    <w:tmpl w:val="4F2A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C55AE"/>
    <w:multiLevelType w:val="hybridMultilevel"/>
    <w:tmpl w:val="5A1444EC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86C4F"/>
    <w:multiLevelType w:val="hybridMultilevel"/>
    <w:tmpl w:val="D3F86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D4497"/>
    <w:multiLevelType w:val="hybridMultilevel"/>
    <w:tmpl w:val="0FFCB6BA"/>
    <w:lvl w:ilvl="0" w:tplc="0409001B">
      <w:start w:val="1"/>
      <w:numFmt w:val="lowerRoman"/>
      <w:lvlText w:val="%1."/>
      <w:lvlJc w:val="right"/>
      <w:pPr>
        <w:ind w:left="2016" w:hanging="360"/>
      </w:p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7">
    <w:nsid w:val="198B18E9"/>
    <w:multiLevelType w:val="hybridMultilevel"/>
    <w:tmpl w:val="C0EE0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7168E1"/>
    <w:multiLevelType w:val="hybridMultilevel"/>
    <w:tmpl w:val="94949F34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55665"/>
    <w:multiLevelType w:val="hybridMultilevel"/>
    <w:tmpl w:val="6C823ED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76EBE"/>
    <w:multiLevelType w:val="hybridMultilevel"/>
    <w:tmpl w:val="76367DA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C679B"/>
    <w:multiLevelType w:val="hybridMultilevel"/>
    <w:tmpl w:val="ECFCF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714D0B"/>
    <w:multiLevelType w:val="hybridMultilevel"/>
    <w:tmpl w:val="91AC1DC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314E3"/>
    <w:multiLevelType w:val="hybridMultilevel"/>
    <w:tmpl w:val="0128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8155E2"/>
    <w:multiLevelType w:val="hybridMultilevel"/>
    <w:tmpl w:val="F3722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3EC9"/>
    <w:multiLevelType w:val="hybridMultilevel"/>
    <w:tmpl w:val="41C6D870"/>
    <w:lvl w:ilvl="0" w:tplc="A192EA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5D83011"/>
    <w:multiLevelType w:val="hybridMultilevel"/>
    <w:tmpl w:val="6D385E52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2B33EF"/>
    <w:multiLevelType w:val="hybridMultilevel"/>
    <w:tmpl w:val="82FC6FEC"/>
    <w:lvl w:ilvl="0" w:tplc="FA764B4E">
      <w:start w:val="1"/>
      <w:numFmt w:val="upp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1AD0FA1"/>
    <w:multiLevelType w:val="hybridMultilevel"/>
    <w:tmpl w:val="9814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B1364"/>
    <w:multiLevelType w:val="hybridMultilevel"/>
    <w:tmpl w:val="30D0FE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E1D1D68"/>
    <w:multiLevelType w:val="hybridMultilevel"/>
    <w:tmpl w:val="6B563404"/>
    <w:lvl w:ilvl="0" w:tplc="1632D64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6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>
    <w:nsid w:val="7381739D"/>
    <w:multiLevelType w:val="hybridMultilevel"/>
    <w:tmpl w:val="5BBCAD08"/>
    <w:lvl w:ilvl="0" w:tplc="3D126C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D2DF8"/>
    <w:multiLevelType w:val="hybridMultilevel"/>
    <w:tmpl w:val="897C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"/>
  </w:num>
  <w:num w:numId="4">
    <w:abstractNumId w:val="15"/>
  </w:num>
  <w:num w:numId="5">
    <w:abstractNumId w:val="18"/>
  </w:num>
  <w:num w:numId="6">
    <w:abstractNumId w:val="22"/>
  </w:num>
  <w:num w:numId="7">
    <w:abstractNumId w:val="20"/>
  </w:num>
  <w:num w:numId="8">
    <w:abstractNumId w:val="6"/>
  </w:num>
  <w:num w:numId="9">
    <w:abstractNumId w:val="19"/>
  </w:num>
  <w:num w:numId="10">
    <w:abstractNumId w:val="17"/>
  </w:num>
  <w:num w:numId="11">
    <w:abstractNumId w:val="7"/>
  </w:num>
  <w:num w:numId="12">
    <w:abstractNumId w:val="5"/>
  </w:num>
  <w:num w:numId="13">
    <w:abstractNumId w:val="12"/>
  </w:num>
  <w:num w:numId="14">
    <w:abstractNumId w:val="10"/>
  </w:num>
  <w:num w:numId="15">
    <w:abstractNumId w:val="9"/>
  </w:num>
  <w:num w:numId="16">
    <w:abstractNumId w:val="21"/>
  </w:num>
  <w:num w:numId="17">
    <w:abstractNumId w:val="8"/>
  </w:num>
  <w:num w:numId="18">
    <w:abstractNumId w:val="16"/>
  </w:num>
  <w:num w:numId="19">
    <w:abstractNumId w:val="4"/>
  </w:num>
  <w:num w:numId="20">
    <w:abstractNumId w:val="2"/>
  </w:num>
  <w:num w:numId="21">
    <w:abstractNumId w:val="3"/>
  </w:num>
  <w:num w:numId="22">
    <w:abstractNumId w:val="1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E12AA"/>
    <w:rsid w:val="00003348"/>
    <w:rsid w:val="00006851"/>
    <w:rsid w:val="00013F10"/>
    <w:rsid w:val="00025B4D"/>
    <w:rsid w:val="00031AD6"/>
    <w:rsid w:val="0003679C"/>
    <w:rsid w:val="00043CF7"/>
    <w:rsid w:val="00065A69"/>
    <w:rsid w:val="000B0893"/>
    <w:rsid w:val="000B568C"/>
    <w:rsid w:val="000E3639"/>
    <w:rsid w:val="000F65F6"/>
    <w:rsid w:val="001058C4"/>
    <w:rsid w:val="00116E7E"/>
    <w:rsid w:val="001177C1"/>
    <w:rsid w:val="00124E7B"/>
    <w:rsid w:val="001342CF"/>
    <w:rsid w:val="00155464"/>
    <w:rsid w:val="00160117"/>
    <w:rsid w:val="00183BCC"/>
    <w:rsid w:val="0018499D"/>
    <w:rsid w:val="001B56BB"/>
    <w:rsid w:val="001B729F"/>
    <w:rsid w:val="001C327D"/>
    <w:rsid w:val="001C3FF0"/>
    <w:rsid w:val="001E345B"/>
    <w:rsid w:val="001E6890"/>
    <w:rsid w:val="001F7CAD"/>
    <w:rsid w:val="00201BAF"/>
    <w:rsid w:val="002203D3"/>
    <w:rsid w:val="0022126F"/>
    <w:rsid w:val="00227620"/>
    <w:rsid w:val="00237744"/>
    <w:rsid w:val="00247F4D"/>
    <w:rsid w:val="00256075"/>
    <w:rsid w:val="00256F2E"/>
    <w:rsid w:val="002578A9"/>
    <w:rsid w:val="00261EAB"/>
    <w:rsid w:val="002710F8"/>
    <w:rsid w:val="0028753D"/>
    <w:rsid w:val="00292A52"/>
    <w:rsid w:val="00292F00"/>
    <w:rsid w:val="002B0C97"/>
    <w:rsid w:val="002C04C5"/>
    <w:rsid w:val="002D4E1C"/>
    <w:rsid w:val="002F3DB2"/>
    <w:rsid w:val="003018E0"/>
    <w:rsid w:val="0031327F"/>
    <w:rsid w:val="00322ABF"/>
    <w:rsid w:val="00324475"/>
    <w:rsid w:val="00327275"/>
    <w:rsid w:val="00330FEE"/>
    <w:rsid w:val="00332C95"/>
    <w:rsid w:val="00335D5D"/>
    <w:rsid w:val="00337A89"/>
    <w:rsid w:val="00337C0C"/>
    <w:rsid w:val="00345FDE"/>
    <w:rsid w:val="003551DE"/>
    <w:rsid w:val="00375474"/>
    <w:rsid w:val="003779C7"/>
    <w:rsid w:val="00377CA6"/>
    <w:rsid w:val="003855D6"/>
    <w:rsid w:val="003C1C02"/>
    <w:rsid w:val="003D14A2"/>
    <w:rsid w:val="003F01B9"/>
    <w:rsid w:val="00400A0D"/>
    <w:rsid w:val="004079C8"/>
    <w:rsid w:val="00412BB3"/>
    <w:rsid w:val="00420531"/>
    <w:rsid w:val="004214D6"/>
    <w:rsid w:val="004257AB"/>
    <w:rsid w:val="00457FBE"/>
    <w:rsid w:val="0049105E"/>
    <w:rsid w:val="00492C33"/>
    <w:rsid w:val="00493E44"/>
    <w:rsid w:val="004B7AC7"/>
    <w:rsid w:val="004D47E5"/>
    <w:rsid w:val="004D5AB8"/>
    <w:rsid w:val="004D609D"/>
    <w:rsid w:val="004E7DA2"/>
    <w:rsid w:val="004F52EB"/>
    <w:rsid w:val="005011B0"/>
    <w:rsid w:val="0050293C"/>
    <w:rsid w:val="005162AD"/>
    <w:rsid w:val="00516787"/>
    <w:rsid w:val="00536EB2"/>
    <w:rsid w:val="0053746A"/>
    <w:rsid w:val="00542CF6"/>
    <w:rsid w:val="005457D4"/>
    <w:rsid w:val="00562D89"/>
    <w:rsid w:val="00566CDE"/>
    <w:rsid w:val="00567F7E"/>
    <w:rsid w:val="00570A71"/>
    <w:rsid w:val="00595EA8"/>
    <w:rsid w:val="005B12FE"/>
    <w:rsid w:val="005B2F3D"/>
    <w:rsid w:val="005B577F"/>
    <w:rsid w:val="005C0C99"/>
    <w:rsid w:val="005E4525"/>
    <w:rsid w:val="005F2757"/>
    <w:rsid w:val="00610E84"/>
    <w:rsid w:val="00621F7C"/>
    <w:rsid w:val="00626265"/>
    <w:rsid w:val="006303F6"/>
    <w:rsid w:val="00640E96"/>
    <w:rsid w:val="00657E55"/>
    <w:rsid w:val="00681427"/>
    <w:rsid w:val="006837B1"/>
    <w:rsid w:val="0068694A"/>
    <w:rsid w:val="00693BC0"/>
    <w:rsid w:val="006A1CDF"/>
    <w:rsid w:val="006A1D66"/>
    <w:rsid w:val="006A2C06"/>
    <w:rsid w:val="006A2DD1"/>
    <w:rsid w:val="006E450F"/>
    <w:rsid w:val="006E7CC8"/>
    <w:rsid w:val="0070006E"/>
    <w:rsid w:val="00700CB3"/>
    <w:rsid w:val="007053A5"/>
    <w:rsid w:val="00705ABE"/>
    <w:rsid w:val="00707611"/>
    <w:rsid w:val="00710E19"/>
    <w:rsid w:val="0074454E"/>
    <w:rsid w:val="00753930"/>
    <w:rsid w:val="00755716"/>
    <w:rsid w:val="00756994"/>
    <w:rsid w:val="00780A97"/>
    <w:rsid w:val="00796569"/>
    <w:rsid w:val="007966BC"/>
    <w:rsid w:val="007A06C1"/>
    <w:rsid w:val="007B4160"/>
    <w:rsid w:val="007B4E76"/>
    <w:rsid w:val="007C2ADD"/>
    <w:rsid w:val="007C341E"/>
    <w:rsid w:val="007C3F6A"/>
    <w:rsid w:val="007C59BC"/>
    <w:rsid w:val="007E629A"/>
    <w:rsid w:val="007F27DE"/>
    <w:rsid w:val="0080133A"/>
    <w:rsid w:val="00823FD0"/>
    <w:rsid w:val="00825BEC"/>
    <w:rsid w:val="00827FF5"/>
    <w:rsid w:val="0083252D"/>
    <w:rsid w:val="00833D1C"/>
    <w:rsid w:val="00850176"/>
    <w:rsid w:val="00881E24"/>
    <w:rsid w:val="008850FD"/>
    <w:rsid w:val="008865DC"/>
    <w:rsid w:val="00890532"/>
    <w:rsid w:val="00890616"/>
    <w:rsid w:val="008A7427"/>
    <w:rsid w:val="008C2D23"/>
    <w:rsid w:val="008C75E5"/>
    <w:rsid w:val="008D29E0"/>
    <w:rsid w:val="008D7205"/>
    <w:rsid w:val="008D7690"/>
    <w:rsid w:val="008E2BC8"/>
    <w:rsid w:val="008E6769"/>
    <w:rsid w:val="008F31A7"/>
    <w:rsid w:val="008F42B4"/>
    <w:rsid w:val="009109AE"/>
    <w:rsid w:val="00945321"/>
    <w:rsid w:val="00945BF0"/>
    <w:rsid w:val="009706CB"/>
    <w:rsid w:val="009710F5"/>
    <w:rsid w:val="00975380"/>
    <w:rsid w:val="0098297B"/>
    <w:rsid w:val="009918E6"/>
    <w:rsid w:val="00991C02"/>
    <w:rsid w:val="009954BB"/>
    <w:rsid w:val="00997D04"/>
    <w:rsid w:val="009A1F22"/>
    <w:rsid w:val="009B1581"/>
    <w:rsid w:val="009B26E5"/>
    <w:rsid w:val="009C4323"/>
    <w:rsid w:val="009D7BE8"/>
    <w:rsid w:val="009E4AA7"/>
    <w:rsid w:val="009F4759"/>
    <w:rsid w:val="009F4E7B"/>
    <w:rsid w:val="009F7B17"/>
    <w:rsid w:val="009F7E10"/>
    <w:rsid w:val="00A23BDD"/>
    <w:rsid w:val="00A31B15"/>
    <w:rsid w:val="00A321E4"/>
    <w:rsid w:val="00A37259"/>
    <w:rsid w:val="00A5268F"/>
    <w:rsid w:val="00A55C91"/>
    <w:rsid w:val="00A660B7"/>
    <w:rsid w:val="00A834FD"/>
    <w:rsid w:val="00A847E7"/>
    <w:rsid w:val="00A937DA"/>
    <w:rsid w:val="00A9725F"/>
    <w:rsid w:val="00AA0306"/>
    <w:rsid w:val="00AC47C1"/>
    <w:rsid w:val="00AD4AEB"/>
    <w:rsid w:val="00B37A87"/>
    <w:rsid w:val="00B41AA5"/>
    <w:rsid w:val="00B4328F"/>
    <w:rsid w:val="00B53E2F"/>
    <w:rsid w:val="00B637C0"/>
    <w:rsid w:val="00B70D34"/>
    <w:rsid w:val="00B87FEA"/>
    <w:rsid w:val="00B9583C"/>
    <w:rsid w:val="00BA47F8"/>
    <w:rsid w:val="00BD2FCD"/>
    <w:rsid w:val="00BE01D5"/>
    <w:rsid w:val="00BE5100"/>
    <w:rsid w:val="00C02CF2"/>
    <w:rsid w:val="00C10AA1"/>
    <w:rsid w:val="00C35943"/>
    <w:rsid w:val="00C42C5E"/>
    <w:rsid w:val="00C5441F"/>
    <w:rsid w:val="00C63CCF"/>
    <w:rsid w:val="00C827B3"/>
    <w:rsid w:val="00C93F86"/>
    <w:rsid w:val="00CA72F7"/>
    <w:rsid w:val="00CB1D40"/>
    <w:rsid w:val="00CC0B28"/>
    <w:rsid w:val="00CC0C6E"/>
    <w:rsid w:val="00CE03FF"/>
    <w:rsid w:val="00CE06EE"/>
    <w:rsid w:val="00CE0DEC"/>
    <w:rsid w:val="00CF3EEF"/>
    <w:rsid w:val="00CF4683"/>
    <w:rsid w:val="00D0178E"/>
    <w:rsid w:val="00D01801"/>
    <w:rsid w:val="00D04C9C"/>
    <w:rsid w:val="00D10A35"/>
    <w:rsid w:val="00D15544"/>
    <w:rsid w:val="00D17187"/>
    <w:rsid w:val="00D418B1"/>
    <w:rsid w:val="00D54067"/>
    <w:rsid w:val="00D626BE"/>
    <w:rsid w:val="00D912F8"/>
    <w:rsid w:val="00D91E0D"/>
    <w:rsid w:val="00D93463"/>
    <w:rsid w:val="00DA5EAB"/>
    <w:rsid w:val="00DB6AFA"/>
    <w:rsid w:val="00DB7656"/>
    <w:rsid w:val="00DC63D3"/>
    <w:rsid w:val="00DD504D"/>
    <w:rsid w:val="00DE12AA"/>
    <w:rsid w:val="00DE5472"/>
    <w:rsid w:val="00DF024E"/>
    <w:rsid w:val="00DF57A8"/>
    <w:rsid w:val="00E0541E"/>
    <w:rsid w:val="00E10748"/>
    <w:rsid w:val="00E111B9"/>
    <w:rsid w:val="00E16A40"/>
    <w:rsid w:val="00E3168D"/>
    <w:rsid w:val="00E3206A"/>
    <w:rsid w:val="00E43B11"/>
    <w:rsid w:val="00E919D6"/>
    <w:rsid w:val="00EA6F3A"/>
    <w:rsid w:val="00EB120C"/>
    <w:rsid w:val="00EC127F"/>
    <w:rsid w:val="00EC51AD"/>
    <w:rsid w:val="00EF22A4"/>
    <w:rsid w:val="00F015B5"/>
    <w:rsid w:val="00F11B45"/>
    <w:rsid w:val="00F1405B"/>
    <w:rsid w:val="00F23314"/>
    <w:rsid w:val="00F55E14"/>
    <w:rsid w:val="00F7564D"/>
    <w:rsid w:val="00F90212"/>
    <w:rsid w:val="00F97C71"/>
    <w:rsid w:val="00FB18CF"/>
    <w:rsid w:val="00FC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180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basedOn w:val="Normal"/>
    <w:semiHidden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Pr>
      <w:sz w:val="20"/>
    </w:rPr>
  </w:style>
  <w:style w:type="paragraph" w:styleId="Header">
    <w:name w:val="header"/>
    <w:basedOn w:val="Normal"/>
    <w:link w:val="HeaderChar"/>
    <w:uiPriority w:val="99"/>
    <w:pPr>
      <w:spacing w:after="0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customStyle="1" w:styleId="FigureTitle">
    <w:name w:val="Figure_Title"/>
    <w:basedOn w:val="Normal"/>
    <w:next w:val="Normal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Guidance">
    <w:name w:val="Guidanc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8499D"/>
    <w:pPr>
      <w:widowControl/>
      <w:spacing w:after="0"/>
      <w:ind w:left="720"/>
    </w:pPr>
  </w:style>
  <w:style w:type="paragraph" w:customStyle="1" w:styleId="CRCoverPage">
    <w:name w:val="CR Cover Page"/>
    <w:rsid w:val="00CE0DE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CE0DEC"/>
    <w:rPr>
      <w:sz w:val="16"/>
    </w:rPr>
  </w:style>
  <w:style w:type="paragraph" w:styleId="CommentText">
    <w:name w:val="annotation text"/>
    <w:basedOn w:val="Normal"/>
    <w:link w:val="CommentTextChar"/>
    <w:rsid w:val="00CE0DEC"/>
    <w:pPr>
      <w:widowControl/>
    </w:pPr>
  </w:style>
  <w:style w:type="character" w:customStyle="1" w:styleId="CommentTextChar">
    <w:name w:val="Comment Text Char"/>
    <w:link w:val="CommentText"/>
    <w:rsid w:val="00CE0DEC"/>
    <w:rPr>
      <w:lang w:val="en-GB"/>
    </w:rPr>
  </w:style>
  <w:style w:type="paragraph" w:styleId="BalloonText">
    <w:name w:val="Balloon Text"/>
    <w:basedOn w:val="Normal"/>
    <w:link w:val="BalloonTextChar"/>
    <w:rsid w:val="00CE0D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E0DEC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890532"/>
    <w:rPr>
      <w:lang w:val="en-GB"/>
    </w:rPr>
  </w:style>
  <w:style w:type="character" w:customStyle="1" w:styleId="PlainTextChar">
    <w:name w:val="Plain Text Char"/>
    <w:link w:val="PlainText"/>
    <w:uiPriority w:val="99"/>
    <w:rsid w:val="008865DC"/>
    <w:rPr>
      <w:rFonts w:ascii="Courier New" w:hAnsi="Courier New"/>
      <w:lang w:val="en-GB"/>
    </w:rPr>
  </w:style>
  <w:style w:type="paragraph" w:styleId="CommentSubject">
    <w:name w:val="annotation subject"/>
    <w:basedOn w:val="CommentText"/>
    <w:next w:val="CommentText"/>
    <w:semiHidden/>
    <w:rsid w:val="001E345B"/>
    <w:pPr>
      <w:widowControl w:val="0"/>
    </w:pPr>
    <w:rPr>
      <w:b/>
      <w:bCs/>
    </w:rPr>
  </w:style>
  <w:style w:type="character" w:customStyle="1" w:styleId="B1Char">
    <w:name w:val="B1 Char"/>
    <w:link w:val="B1"/>
    <w:locked/>
    <w:rsid w:val="00DE5472"/>
    <w:rPr>
      <w:lang w:val="en-GB"/>
    </w:rPr>
  </w:style>
  <w:style w:type="table" w:styleId="TableGrid">
    <w:name w:val="Table Grid"/>
    <w:basedOn w:val="TableNormal"/>
    <w:rsid w:val="00890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A6F3A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D609D"/>
    <w:rPr>
      <w:rFonts w:ascii="Arial" w:hAnsi="Arial"/>
      <w:b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180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basedOn w:val="Normal"/>
    <w:semiHidden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Pr>
      <w:sz w:val="20"/>
    </w:rPr>
  </w:style>
  <w:style w:type="paragraph" w:styleId="Header">
    <w:name w:val="header"/>
    <w:basedOn w:val="Normal"/>
    <w:link w:val="HeaderChar"/>
    <w:uiPriority w:val="99"/>
    <w:pPr>
      <w:spacing w:after="0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customStyle="1" w:styleId="FigureTitle">
    <w:name w:val="Figure_Title"/>
    <w:basedOn w:val="Normal"/>
    <w:next w:val="Normal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Guidance">
    <w:name w:val="Guidanc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8499D"/>
    <w:pPr>
      <w:widowControl/>
      <w:spacing w:after="0"/>
      <w:ind w:left="720"/>
    </w:pPr>
  </w:style>
  <w:style w:type="paragraph" w:customStyle="1" w:styleId="CRCoverPage">
    <w:name w:val="CR Cover Page"/>
    <w:rsid w:val="00CE0DE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CE0DEC"/>
    <w:rPr>
      <w:sz w:val="16"/>
    </w:rPr>
  </w:style>
  <w:style w:type="paragraph" w:styleId="CommentText">
    <w:name w:val="annotation text"/>
    <w:basedOn w:val="Normal"/>
    <w:link w:val="CommentTextChar"/>
    <w:rsid w:val="00CE0DEC"/>
    <w:pPr>
      <w:widowControl/>
    </w:pPr>
  </w:style>
  <w:style w:type="character" w:customStyle="1" w:styleId="CommentTextChar">
    <w:name w:val="Comment Text Char"/>
    <w:link w:val="CommentText"/>
    <w:rsid w:val="00CE0DEC"/>
    <w:rPr>
      <w:lang w:val="en-GB"/>
    </w:rPr>
  </w:style>
  <w:style w:type="paragraph" w:styleId="BalloonText">
    <w:name w:val="Balloon Text"/>
    <w:basedOn w:val="Normal"/>
    <w:link w:val="BalloonTextChar"/>
    <w:rsid w:val="00CE0D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E0DEC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890532"/>
    <w:rPr>
      <w:lang w:val="en-GB"/>
    </w:rPr>
  </w:style>
  <w:style w:type="character" w:customStyle="1" w:styleId="PlainTextChar">
    <w:name w:val="Plain Text Char"/>
    <w:link w:val="PlainText"/>
    <w:uiPriority w:val="99"/>
    <w:rsid w:val="008865DC"/>
    <w:rPr>
      <w:rFonts w:ascii="Courier New" w:hAnsi="Courier New"/>
      <w:lang w:val="en-GB"/>
    </w:rPr>
  </w:style>
  <w:style w:type="paragraph" w:styleId="CommentSubject">
    <w:name w:val="annotation subject"/>
    <w:basedOn w:val="CommentText"/>
    <w:next w:val="CommentText"/>
    <w:semiHidden/>
    <w:rsid w:val="001E345B"/>
    <w:pPr>
      <w:widowControl w:val="0"/>
    </w:pPr>
    <w:rPr>
      <w:b/>
      <w:bCs/>
    </w:rPr>
  </w:style>
  <w:style w:type="character" w:customStyle="1" w:styleId="B1Char">
    <w:name w:val="B1 Char"/>
    <w:link w:val="B1"/>
    <w:locked/>
    <w:rsid w:val="00DE5472"/>
    <w:rPr>
      <w:lang w:val="en-GB"/>
    </w:rPr>
  </w:style>
  <w:style w:type="table" w:styleId="TableGrid">
    <w:name w:val="Table Grid"/>
    <w:basedOn w:val="TableNormal"/>
    <w:rsid w:val="00890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A6F3A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D609D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8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%09%09%09ftp:/ftp.3gpp.org/TSG_SA/WG3_Security/TSGS3_LI/2008_30_Sophia/SA3LI08_053.zip%09%09%0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D53F9-3BAB-41E1-AA19-A89F30F9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33.106</vt:lpstr>
      <vt:lpstr>3GPP TS 33.106</vt:lpstr>
    </vt:vector>
  </TitlesOfParts>
  <Company>Microsoft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33.106</dc:title>
  <dc:subject>Lawful Interception requirements (Release 9)</dc:subject>
  <dc:creator>MCC Support</dc:creator>
  <cp:keywords>UMTS, Security, Architecture</cp:keywords>
  <cp:lastModifiedBy>jtrakinat</cp:lastModifiedBy>
  <cp:revision>3</cp:revision>
  <cp:lastPrinted>2010-07-16T01:20:00Z</cp:lastPrinted>
  <dcterms:created xsi:type="dcterms:W3CDTF">2011-08-15T06:24:00Z</dcterms:created>
  <dcterms:modified xsi:type="dcterms:W3CDTF">2011-08-15T06:37:00Z</dcterms:modified>
</cp:coreProperties>
</file>